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F85" w:rsidRPr="008C1F85" w:rsidRDefault="008C1F85" w:rsidP="008C1F85">
      <w:pPr>
        <w:keepNext/>
        <w:tabs>
          <w:tab w:val="num" w:pos="-1653"/>
          <w:tab w:val="num" w:pos="891"/>
        </w:tabs>
        <w:spacing w:before="240" w:after="60" w:line="302" w:lineRule="auto"/>
        <w:ind w:left="531" w:hanging="360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</w:pPr>
      <w:bookmarkStart w:id="0" w:name="_Toc277062689"/>
      <w:bookmarkStart w:id="1" w:name="_Toc277062729"/>
      <w:bookmarkStart w:id="2" w:name="_Toc277079242"/>
      <w:bookmarkStart w:id="3" w:name="_Toc301862905"/>
      <w:r w:rsidRPr="008C1F85">
        <w:rPr>
          <w:rFonts w:ascii="Times New Roman" w:eastAsia="Times New Roman" w:hAnsi="Times New Roman" w:cs="Arial"/>
          <w:b/>
          <w:bCs/>
          <w:kern w:val="32"/>
          <w:sz w:val="28"/>
          <w:szCs w:val="32"/>
          <w:lang w:eastAsia="ru-RU"/>
        </w:rPr>
        <w:t>Методика расчета параметров движущегося влажного пара в паропроводе тепловой сети (версия методики №2 для расчетного комплекса версии 3.03).</w:t>
      </w:r>
      <w:bookmarkEnd w:id="0"/>
      <w:bookmarkEnd w:id="1"/>
      <w:bookmarkEnd w:id="2"/>
      <w:bookmarkEnd w:id="3"/>
    </w:p>
    <w:p w:rsidR="008C1F85" w:rsidRDefault="008C1F85" w:rsidP="008C1F85">
      <w:pPr>
        <w:spacing w:after="0" w:line="302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8C1F85" w:rsidRDefault="008C1F85" w:rsidP="008C1F8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7F3D">
        <w:rPr>
          <w:rFonts w:ascii="Times New Roman" w:hAnsi="Times New Roman" w:cs="Times New Roman"/>
          <w:b/>
          <w:sz w:val="24"/>
          <w:szCs w:val="24"/>
        </w:rPr>
        <w:t>Автор статьи:</w:t>
      </w:r>
      <w:r w:rsidRPr="0038497C">
        <w:rPr>
          <w:rFonts w:ascii="Times New Roman" w:hAnsi="Times New Roman" w:cs="Times New Roman"/>
          <w:sz w:val="24"/>
          <w:szCs w:val="24"/>
        </w:rPr>
        <w:t xml:space="preserve"> Начальник отдела по разработк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8C1F85" w:rsidRDefault="008C1F85" w:rsidP="008C1F8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программного обеспечения в области </w:t>
      </w:r>
    </w:p>
    <w:p w:rsidR="008C1F85" w:rsidRPr="0038497C" w:rsidRDefault="008C1F85" w:rsidP="008C1F8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энергетик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«ЭНЕРГОСОЮЗ», Мещеряков А.Ю.</w:t>
      </w:r>
    </w:p>
    <w:p w:rsidR="008C1F85" w:rsidRDefault="008C1F85" w:rsidP="008C1F85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1F85" w:rsidRDefault="008C1F85" w:rsidP="008C1F8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Редактор</w:t>
      </w:r>
      <w:r w:rsidRPr="000E7F3D">
        <w:rPr>
          <w:rFonts w:ascii="Times New Roman" w:hAnsi="Times New Roman" w:cs="Times New Roman"/>
          <w:b/>
          <w:sz w:val="24"/>
          <w:szCs w:val="24"/>
        </w:rPr>
        <w:t xml:space="preserve"> статьи:</w:t>
      </w:r>
      <w:r w:rsidRPr="003849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Генеральный директор </w:t>
      </w:r>
    </w:p>
    <w:p w:rsidR="008C1F85" w:rsidRPr="000E7F3D" w:rsidRDefault="008C1F85" w:rsidP="008C1F85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«ЭНЕРГОСОЮЗ», Самуйлова Т.Р.</w:t>
      </w:r>
    </w:p>
    <w:p w:rsidR="008C1F85" w:rsidRDefault="008C1F85" w:rsidP="008C1F85">
      <w:pPr>
        <w:spacing w:after="0" w:line="288" w:lineRule="auto"/>
        <w:rPr>
          <w:rFonts w:ascii="Times New Roman" w:hAnsi="Times New Roman" w:cs="Times New Roman"/>
          <w:b/>
          <w:sz w:val="32"/>
        </w:rPr>
      </w:pPr>
    </w:p>
    <w:p w:rsidR="008C1F85" w:rsidRDefault="008C1F85" w:rsidP="00953CA2">
      <w:pPr>
        <w:spacing w:after="0" w:line="30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Минэнерго РФ №325 от 30.12.08 г, содержит методику определения температуры и давления пара на участке паропровода. Определение температуры и давления пара необходимо для расчета нормативных потерь тепловой энергии с поверхности изоляции (зависящих от температуры пара) и потерь тепловой энергии с утечкой теплоносителя (зависящих от давления пара, в свою очередь, определяющихся его давлением и температурой). Методика определения температуры и давления пара на участке паропровода, изложенная в приказе Минэнерго РФ №325 от 30.12.08 г. содержит в себе следующий недостаток – она не учитывает специфику движения влажного пара в трубопроводе. Движение влажного пара – это сложный термодинамический процесс, при котором происходит потеря тепловой энергии через тепловую изоляцию и гидравлическая потеря давления пара, обусловленная гидравлическим трением и местными сопротивлениями на участке.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данного процесса также осложняется тем, что влажный пар представляет собой смесь насыщенного водяного пара и равномерно распределенного по сечению трубопровода жидкой фазы – конденсата, взвешенного в потоке пара (</w:t>
      </w:r>
      <w:r w:rsidR="00953C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горизонтальной ориентации паропровода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высоких тепловых потерях через тепловую изоляцию также образуются </w:t>
      </w:r>
      <w:r w:rsidR="00953C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потоки конденсата, протекающие внизу сечения трубопровода, со скоростью, отличной от скорости движения потока влажного пара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53C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8C1F85" w:rsidRPr="008C1F85" w:rsidRDefault="008C1F85" w:rsidP="008C1F85">
      <w:pPr>
        <w:spacing w:after="0" w:line="30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расчета движения влажного пара</w:t>
      </w:r>
      <w:r w:rsidR="00953C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используемая в расчетном комплексе «Норматив-теплосеть»,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сводится к пошаговому расчет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котором участок паропровода разбивается на промежутки, на конце каждого промежутка рассчитываются определяющие показатели влажного пара (давление и энтальпия пара), которые, в свою очередь являются начальными условиями на следующем расчетном промежутке. Расчет </w:t>
      </w:r>
      <w:bookmarkStart w:id="4" w:name="_GoBack"/>
      <w:bookmarkEnd w:id="4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определяющих показателей производится в </w:t>
      </w:r>
      <w:r w:rsidR="00953CA2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 уравнениями и формулами:</w:t>
      </w:r>
    </w:p>
    <w:p w:rsidR="008C1F85" w:rsidRPr="008C1F85" w:rsidRDefault="008C1F85" w:rsidP="008C1F85">
      <w:pPr>
        <w:spacing w:after="0" w:line="30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уравнения теплопередачи от влажного пара к окружающей среде и уравнения теплового баланса промежутка паропровода;</w:t>
      </w:r>
    </w:p>
    <w:p w:rsidR="008C1F85" w:rsidRPr="008C1F85" w:rsidRDefault="008C1F85" w:rsidP="008C1F85">
      <w:pPr>
        <w:spacing w:after="0" w:line="30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потери напора движущегося пара, в соответствии с формулой Дарси-Вейсбаха.</w:t>
      </w:r>
    </w:p>
    <w:p w:rsidR="008C1F85" w:rsidRPr="008C1F85" w:rsidRDefault="008C1F85" w:rsidP="008C1F85">
      <w:pPr>
        <w:spacing w:after="0" w:line="302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рис. 1. в координатах (</w:t>
      </w:r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где </w:t>
      </w:r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энтальпия пара, </w:t>
      </w:r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дистанция от начала участка до расчетного промежутка, продемонстрирован принцип расчета потерь энтальпии на участке:  </w:t>
      </w:r>
    </w:p>
    <w:p w:rsidR="008C1F85" w:rsidRPr="008C1F85" w:rsidRDefault="008C1F85" w:rsidP="008C1F85">
      <w:pPr>
        <w:spacing w:after="0" w:line="30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442" w:dyaOrig="5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75pt;height:333pt" o:ole="">
            <v:imagedata r:id="rId5" o:title=""/>
          </v:shape>
          <o:OLEObject Type="Embed" ProgID="Visio.Drawing.11" ShapeID="_x0000_i1025" DrawAspect="Content" ObjectID="_1376213669" r:id="rId6"/>
        </w:object>
      </w:r>
    </w:p>
    <w:p w:rsidR="008C1F85" w:rsidRPr="008C1F85" w:rsidRDefault="008C1F85" w:rsidP="008C1F85">
      <w:pPr>
        <w:spacing w:after="0" w:line="302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Принцип расчета потерь энтальпии на участке.</w:t>
      </w:r>
    </w:p>
    <w:p w:rsidR="008C1F85" w:rsidRPr="008C1F85" w:rsidRDefault="008C1F85" w:rsidP="008C1F85">
      <w:pPr>
        <w:spacing w:after="0" w:line="30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5" w:rsidRPr="008C1F85" w:rsidRDefault="008C1F85" w:rsidP="008C1F85">
      <w:pPr>
        <w:spacing w:after="0" w:line="30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5" w:rsidRPr="008C1F85" w:rsidRDefault="008C1F85" w:rsidP="008C1F85">
      <w:pPr>
        <w:spacing w:after="0" w:line="30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РЕШЕНИЯ ЗАДАЧИ НА КАЖДОМ УЧАСТКЕ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Заданы начальные условия пара на промежутке: </w:t>
      </w:r>
      <w:r w:rsidR="00953CA2" w:rsidRPr="008C1F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0" w:dyaOrig="340">
          <v:shape id="_x0000_i1026" type="#_x0000_t75" style="width:22.5pt;height:26.25pt" o:ole="">
            <v:imagedata r:id="rId7" o:title=""/>
          </v:shape>
          <o:OLEObject Type="Embed" ProgID="Equation.3" ShapeID="_x0000_i1026" DrawAspect="Content" ObjectID="_1376213670" r:id="rId8"/>
        </w:objec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3CA2" w:rsidRPr="008C1F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60" w:dyaOrig="340">
          <v:shape id="_x0000_i1027" type="#_x0000_t75" style="width:19.5pt;height:26.25pt" o:ole="">
            <v:imagedata r:id="rId9" o:title=""/>
          </v:shape>
          <o:OLEObject Type="Embed" ProgID="Equation.3" ShapeID="_x0000_i1027" DrawAspect="Content" ObjectID="_1376213671" r:id="rId10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ккал/кг,</w:t>
      </w:r>
      <w:r w:rsidR="00953CA2" w:rsidRPr="008C1F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0" w:dyaOrig="340">
          <v:shape id="_x0000_i1028" type="#_x0000_t75" style="width:15pt;height:26.25pt" o:ole="">
            <v:imagedata r:id="rId11" o:title=""/>
          </v:shape>
          <o:OLEObject Type="Embed" ProgID="Equation.3" ShapeID="_x0000_i1028" DrawAspect="Content" ObjectID="_1376213672" r:id="rId12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°</w:t>
      </w:r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средняя температура пара на участке,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79" w:dyaOrig="380">
          <v:shape id="_x0000_i1029" type="#_x0000_t75" style="width:21pt;height:29.25pt" o:ole="">
            <v:imagedata r:id="rId13" o:title=""/>
          </v:shape>
          <o:OLEObject Type="Embed" ProgID="Equation.3" ShapeID="_x0000_i1029" DrawAspect="Content" ObjectID="_1376213673" r:id="rId14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 равная </w:t>
      </w:r>
      <w:r w:rsidR="00953CA2" w:rsidRPr="008C1F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0" w:dyaOrig="340">
          <v:shape id="_x0000_i1030" type="#_x0000_t75" style="width:15pt;height:26.25pt" o:ole="">
            <v:imagedata r:id="rId15" o:title=""/>
          </v:shape>
          <o:OLEObject Type="Embed" ProgID="Equation.3" ShapeID="_x0000_i1030" DrawAspect="Content" ObjectID="_1376213674" r:id="rId16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коэффициент термодинамического сопротивления теплопередаче на промежутке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3CA2" w:rsidRPr="008C1F85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60" w:dyaOrig="260">
          <v:shape id="_x0000_i1031" type="#_x0000_t75" style="width:18.75pt;height:20.25pt" o:ole="">
            <v:imagedata r:id="rId17" o:title=""/>
          </v:shape>
          <o:OLEObject Type="Embed" ProgID="Equation.3" ShapeID="_x0000_i1031" DrawAspect="Content" ObjectID="_1376213675" r:id="rId18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C1F85" w:rsidRPr="008C1F85" w:rsidRDefault="00953CA2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4400" w:dyaOrig="760">
          <v:shape id="_x0000_i1032" type="#_x0000_t75" style="width:324.75pt;height:57.75pt" o:ole="">
            <v:imagedata r:id="rId19" o:title=""/>
          </v:shape>
          <o:OLEObject Type="Embed" ProgID="Equation.3" ShapeID="_x0000_i1032" DrawAspect="Content" ObjectID="_1376213676" r:id="rId20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ккал/</w:t>
      </w:r>
      <w:proofErr w:type="gramStart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ч*м</w: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*°С),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C1F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8C1F85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953CA2" w:rsidRPr="008C1F85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79">
          <v:shape id="_x0000_i1033" type="#_x0000_t75" style="width:12pt;height:15.75pt" o:ole="">
            <v:imagedata r:id="rId21" o:title=""/>
          </v:shape>
          <o:OLEObject Type="Embed" ProgID="Equation.3" ShapeID="_x0000_i1033" DrawAspect="Content" ObjectID="_1376213677" r:id="rId22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/(ч*м*°С) – теплопроводность тепловой изоляции паропровода, 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53CA2" w:rsidRPr="008C1F8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79" w:dyaOrig="360">
          <v:shape id="_x0000_i1034" type="#_x0000_t75" style="width:16.5pt;height:20.25pt" o:ole="">
            <v:imagedata r:id="rId23" o:title=""/>
          </v:shape>
          <o:OLEObject Type="Embed" ProgID="Equation.3" ShapeID="_x0000_i1034" DrawAspect="Content" ObjectID="_1376213678" r:id="rId24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наружный диаметр паропровода,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53CA2" w:rsidRPr="008C1F85">
        <w:rPr>
          <w:rFonts w:ascii="Times New Roman" w:eastAsia="Times New Roman" w:hAnsi="Times New Roman" w:cs="Times New Roman"/>
          <w:position w:val="-4"/>
          <w:sz w:val="24"/>
          <w:szCs w:val="24"/>
          <w:lang w:eastAsia="ru-RU"/>
        </w:rPr>
        <w:object w:dxaOrig="220" w:dyaOrig="260">
          <v:shape id="_x0000_i1035" type="#_x0000_t75" style="width:12.75pt;height:15pt" o:ole="">
            <v:imagedata r:id="rId25" o:title=""/>
          </v:shape>
          <o:OLEObject Type="Embed" ProgID="Equation.3" ShapeID="_x0000_i1035" DrawAspect="Content" ObjectID="_1376213679" r:id="rId26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толщина тепловой изоляции,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20" w:dyaOrig="380">
          <v:shape id="_x0000_i1036" type="#_x0000_t75" style="width:21pt;height:18.75pt" o:ole="">
            <v:imagedata r:id="rId27" o:title=""/>
          </v:shape>
          <o:OLEObject Type="Embed" ProgID="Equation.3" ShapeID="_x0000_i1036" DrawAspect="Content" ObjectID="_1376213680" r:id="rId28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99" w:dyaOrig="380">
          <v:shape id="_x0000_i1037" type="#_x0000_t75" style="width:24.75pt;height:18.75pt" o:ole="">
            <v:imagedata r:id="rId29" o:title=""/>
          </v:shape>
          <o:OLEObject Type="Embed" ProgID="Equation.3" ShapeID="_x0000_i1037" DrawAspect="Content" ObjectID="_1376213681" r:id="rId30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ккал/(ч*м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*°С) – коэффициенты теплоотдачи от наружной поверхности тепловой изоляции паропровода и от теплоносителя к внутренней стенке паропровода, соответственно,</w:t>
      </w:r>
    </w:p>
    <w:p w:rsidR="008C1F85" w:rsidRPr="008C1F85" w:rsidRDefault="008C1F85" w:rsidP="008C1F85">
      <w:pPr>
        <w:spacing w:after="0" w:line="302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53CA2" w:rsidRPr="008C1F8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360" w:dyaOrig="360">
          <v:shape id="_x0000_i1038" type="#_x0000_t75" style="width:18pt;height:18pt" o:ole="">
            <v:imagedata r:id="rId31" o:title=""/>
          </v:shape>
          <o:OLEObject Type="Embed" ProgID="Equation.3" ShapeID="_x0000_i1038" DrawAspect="Content" ObjectID="_1376213682" r:id="rId32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внутренний диаметр трубопровода.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помощью уравнения теплового баланса промежутка паропровода и уравнения теплопередачи, определяется энтальпия пара в конце расчетного промежутка:</w:t>
      </w:r>
    </w:p>
    <w:p w:rsidR="008C1F85" w:rsidRPr="008C1F85" w:rsidRDefault="00953CA2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400" w:dyaOrig="380">
          <v:shape id="_x0000_i1039" type="#_x0000_t75" style="width:177pt;height:29.25pt" o:ole="">
            <v:imagedata r:id="rId33" o:title=""/>
          </v:shape>
          <o:OLEObject Type="Embed" ProgID="Equation.3" ShapeID="_x0000_i1039" DrawAspect="Content" ObjectID="_1376213683" r:id="rId34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/час,</w:t>
      </w:r>
    </w:p>
    <w:p w:rsidR="008C1F85" w:rsidRPr="008C1F85" w:rsidRDefault="00953CA2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200" w:dyaOrig="639">
          <v:shape id="_x0000_i1040" type="#_x0000_t75" style="width:162.75pt;height:48.75pt" o:ole="">
            <v:imagedata r:id="rId35" o:title=""/>
          </v:shape>
          <o:OLEObject Type="Embed" ProgID="Equation.3" ShapeID="_x0000_i1040" DrawAspect="Content" ObjectID="_1376213684" r:id="rId36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/час,</w:t>
      </w:r>
    </w:p>
    <w:p w:rsidR="008C1F85" w:rsidRPr="008C1F85" w:rsidRDefault="008C1F85" w:rsidP="008C1F85">
      <w:pPr>
        <w:spacing w:after="0" w:line="30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отсюда</w:t>
      </w:r>
    </w:p>
    <w:p w:rsidR="008C1F85" w:rsidRPr="008C1F85" w:rsidRDefault="008C1F85" w:rsidP="008C1F85">
      <w:pPr>
        <w:spacing w:after="0" w:line="30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3CA2" w:rsidRPr="00953CA2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640" w:dyaOrig="740">
          <v:shape id="_x0000_i1041" type="#_x0000_t75" style="width:195pt;height:56.25pt" o:ole="">
            <v:imagedata r:id="rId37" o:title=""/>
          </v:shape>
          <o:OLEObject Type="Embed" ProgID="Equation.3" ShapeID="_x0000_i1041" DrawAspect="Content" ObjectID="_1376213685" r:id="rId38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/кг,         </w:t>
      </w:r>
    </w:p>
    <w:p w:rsidR="008C1F85" w:rsidRPr="008C1F85" w:rsidRDefault="008C1F85" w:rsidP="008C1F85">
      <w:pPr>
        <w:spacing w:after="0" w:line="30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где </w:t>
      </w:r>
      <w:r w:rsidR="00953CA2" w:rsidRPr="008C1F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320">
          <v:shape id="_x0000_i1042" type="#_x0000_t75" style="width:14.25pt;height:18pt" o:ole="">
            <v:imagedata r:id="rId39" o:title=""/>
          </v:shape>
          <o:OLEObject Type="Embed" ProgID="Equation.3" ShapeID="_x0000_i1042" DrawAspect="Content" ObjectID="_1376213686" r:id="rId40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ккал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/ч – часовые потери тепла через тепловую изоляцию с расчетного промежутка,</w:t>
      </w:r>
    </w:p>
    <w:p w:rsidR="008C1F85" w:rsidRPr="008C1F85" w:rsidRDefault="008C1F85" w:rsidP="008C1F85">
      <w:pPr>
        <w:spacing w:after="0" w:line="302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520" w:dyaOrig="380">
          <v:shape id="_x0000_i1043" type="#_x0000_t75" style="width:31.5pt;height:21.75pt" o:ole="">
            <v:imagedata r:id="rId41" o:title=""/>
          </v:shape>
          <o:OLEObject Type="Embed" ProgID="Equation.3" ShapeID="_x0000_i1043" DrawAspect="Content" ObjectID="_1376213687" r:id="rId42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протяженность расчетного промежутка,</w:t>
      </w:r>
    </w:p>
    <w:p w:rsidR="008C1F85" w:rsidRPr="008C1F85" w:rsidRDefault="008C1F85" w:rsidP="008C1F85">
      <w:pPr>
        <w:spacing w:after="0" w:line="302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00" w:dyaOrig="380">
          <v:shape id="_x0000_i1044" type="#_x0000_t75" style="width:24pt;height:21.75pt" o:ole="">
            <v:imagedata r:id="rId43" o:title=""/>
          </v:shape>
          <o:OLEObject Type="Embed" ProgID="Equation.3" ShapeID="_x0000_i1044" DrawAspect="Content" ObjectID="_1376213688" r:id="rId44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°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окружающей среды,</w:t>
      </w:r>
    </w:p>
    <w:p w:rsidR="008C1F85" w:rsidRPr="008C1F85" w:rsidRDefault="008C1F85" w:rsidP="008C1F85">
      <w:pPr>
        <w:spacing w:after="0" w:line="302" w:lineRule="auto"/>
        <w:ind w:left="1068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53CA2" w:rsidRPr="00953CA2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460" w:dyaOrig="380">
          <v:shape id="_x0000_i1045" type="#_x0000_t75" style="width:27.75pt;height:21pt" o:ole="">
            <v:imagedata r:id="rId45" o:title=""/>
          </v:shape>
          <o:OLEObject Type="Embed" ProgID="Equation.3" ShapeID="_x0000_i1045" DrawAspect="Content" ObjectID="_1376213689" r:id="rId46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т/ч – расчетный расход пара.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средняя энтальпия и давление пара на расчетном промежутке: </w:t>
      </w:r>
    </w:p>
    <w:p w:rsidR="008C1F85" w:rsidRPr="008C1F85" w:rsidRDefault="00953CA2" w:rsidP="008C1F85">
      <w:pPr>
        <w:spacing w:after="0" w:line="302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C1F8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500" w:dyaOrig="620">
          <v:shape id="_x0000_i1046" type="#_x0000_t75" style="width:90.75pt;height:35.25pt" o:ole="">
            <v:imagedata r:id="rId47" o:title=""/>
          </v:shape>
          <o:OLEObject Type="Embed" ProgID="Equation.3" ShapeID="_x0000_i1046" DrawAspect="Content" ObjectID="_1376213690" r:id="rId48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       </w:t>
      </w:r>
      <w:r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1600" w:dyaOrig="380">
          <v:shape id="_x0000_i1047" type="#_x0000_t75" style="width:96.75pt;height:21.75pt" o:ole="">
            <v:imagedata r:id="rId49" o:title=""/>
          </v:shape>
          <o:OLEObject Type="Embed" ProgID="Equation.3" ShapeID="_x0000_i1047" DrawAspect="Content" ObjectID="_1376213691" r:id="rId50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критерий </w:t>
      </w:r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20" w:dyaOrig="380">
          <v:shape id="_x0000_i1048" type="#_x0000_t75" style="width:16.5pt;height:18.75pt" o:ole="">
            <v:imagedata r:id="rId51" o:title=""/>
          </v:shape>
          <o:OLEObject Type="Embed" ProgID="Equation.3" ShapeID="_x0000_i1048" DrawAspect="Content" ObjectID="_1376213692" r:id="rId52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80" w:dyaOrig="380">
          <v:shape id="_x0000_i1049" type="#_x0000_t75" style="width:18.75pt;height:18.75pt" o:ole="">
            <v:imagedata r:id="rId53" o:title=""/>
          </v:shape>
          <o:OLEObject Type="Embed" ProgID="Equation.3" ShapeID="_x0000_i1049" DrawAspect="Content" ObjectID="_1376213693" r:id="rId54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C1F85" w:rsidRPr="008C1F85" w:rsidRDefault="008C1F85" w:rsidP="008C1F85">
      <w:pPr>
        <w:spacing w:after="0" w:line="302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5" w:rsidRPr="008C1F85" w:rsidRDefault="00953CA2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1280" w:dyaOrig="620">
          <v:shape id="_x0000_i1050" type="#_x0000_t75" style="width:77.25pt;height:35.25pt" o:ole="">
            <v:imagedata r:id="rId55" o:title=""/>
          </v:shape>
          <o:OLEObject Type="Embed" ProgID="Equation.3" ShapeID="_x0000_i1050" DrawAspect="Content" ObjectID="_1376213694" r:id="rId56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где    </w:t>
      </w:r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м/</w:t>
      </w:r>
      <w:r w:rsidRPr="008C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расчетная скорость пара,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953CA2" w:rsidRPr="008C1F85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180" w:dyaOrig="220">
          <v:shape id="_x0000_i1051" type="#_x0000_t75" style="width:9pt;height:11.25pt" o:ole="">
            <v:imagedata r:id="rId57" o:title=""/>
          </v:shape>
          <o:OLEObject Type="Embed" ProgID="Equation.3" ShapeID="_x0000_i1051" DrawAspect="Content" ObjectID="_1376213695" r:id="rId58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/с – кинематическая вязкость пара.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коэффициент гидродинамического сопротивления по формуле А.Д. </w:t>
      </w:r>
      <w:proofErr w:type="spell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Альтшуля</w:t>
      </w:r>
      <w:proofErr w:type="spellEnd"/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53CA2" w:rsidRPr="008C1F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300" w:dyaOrig="340">
          <v:shape id="_x0000_i1052" type="#_x0000_t75" style="width:15pt;height:17.25pt" o:ole="">
            <v:imagedata r:id="rId59" o:title=""/>
          </v:shape>
          <o:OLEObject Type="Embed" ProgID="Equation.3" ShapeID="_x0000_i1052" DrawAspect="Content" ObjectID="_1376213696" r:id="rId60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8C1F85" w:rsidRPr="008C1F85" w:rsidRDefault="00953CA2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220" w:dyaOrig="760">
          <v:shape id="_x0000_i1053" type="#_x0000_t75" style="width:134.25pt;height:42.75pt" o:ole="">
            <v:imagedata r:id="rId61" o:title=""/>
          </v:shape>
          <o:OLEObject Type="Embed" ProgID="Equation.3" ShapeID="_x0000_i1053" DrawAspect="Content" ObjectID="_1376213697" r:id="rId62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1F85" w:rsidRPr="008C1F85" w:rsidRDefault="008C1F85" w:rsidP="008C1F85">
      <w:pPr>
        <w:spacing w:after="0" w:line="30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где </w:t>
      </w:r>
      <w:r w:rsidR="00953CA2" w:rsidRPr="008C1F85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object w:dxaOrig="200" w:dyaOrig="279">
          <v:shape id="_x0000_i1054" type="#_x0000_t75" style="width:10.5pt;height:14.25pt" o:ole="">
            <v:imagedata r:id="rId63" o:title=""/>
          </v:shape>
          <o:OLEObject Type="Embed" ProgID="Equation.3" ShapeID="_x0000_i1054" DrawAspect="Content" ObjectID="_1376213698" r:id="rId64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мм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эквивалентная шероховатость внутренней поверхности трубопровода.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уравнения Дарси-Вейсбаха определяется давление пара в конце расчетного промежутка:</w:t>
      </w:r>
    </w:p>
    <w:p w:rsidR="008C1F85" w:rsidRPr="008C1F85" w:rsidRDefault="008C1F85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5" w:rsidRPr="008C1F85" w:rsidRDefault="00953CA2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4459" w:dyaOrig="760">
          <v:shape id="_x0000_i1055" type="#_x0000_t75" style="width:269.25pt;height:42.75pt" o:ole="">
            <v:imagedata r:id="rId65" o:title=""/>
          </v:shape>
          <o:OLEObject Type="Embed" ProgID="Equation.3" ShapeID="_x0000_i1055" DrawAspect="Content" ObjectID="_1376213699" r:id="rId66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</w:p>
    <w:p w:rsidR="008C1F85" w:rsidRPr="008C1F85" w:rsidRDefault="008C1F85" w:rsidP="008C1F85">
      <w:pPr>
        <w:spacing w:after="0" w:line="302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отсюда,</w:t>
      </w:r>
    </w:p>
    <w:p w:rsidR="008C1F85" w:rsidRPr="008C1F85" w:rsidRDefault="00953CA2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4239" w:dyaOrig="760">
          <v:shape id="_x0000_i1056" type="#_x0000_t75" style="width:256.5pt;height:42.75pt" o:ole="">
            <v:imagedata r:id="rId67" o:title=""/>
          </v:shape>
          <o:OLEObject Type="Embed" ProgID="Equation.3" ShapeID="_x0000_i1056" DrawAspect="Content" ObjectID="_1376213700" r:id="rId68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</w:t>
      </w:r>
      <w:proofErr w:type="spellEnd"/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где </w:t>
      </w:r>
      <w:r w:rsidR="00953CA2" w:rsidRPr="008C1F85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60" w:dyaOrig="360">
          <v:shape id="_x0000_i1057" type="#_x0000_t75" style="width:12.75pt;height:18pt" o:ole="">
            <v:imagedata r:id="rId69" o:title=""/>
          </v:shape>
          <o:OLEObject Type="Embed" ProgID="Equation.3" ShapeID="_x0000_i1057" DrawAspect="Content" ObjectID="_1376213701" r:id="rId70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8C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Коэффициент местных потерь давления i-го участка определяется по формуле 20 Приказа №325 Минэнерго РФ от 30.12.08 г.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8C1F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="00953CA2" w:rsidRPr="008C1F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20" w:dyaOrig="260">
          <v:shape id="_x0000_i1058" type="#_x0000_t75" style="width:11.25pt;height:12.75pt" o:ole="">
            <v:imagedata r:id="rId71" o:title=""/>
          </v:shape>
          <o:OLEObject Type="Embed" ProgID="Equation.3" ShapeID="_x0000_i1058" DrawAspect="Content" ObjectID="_1376213702" r:id="rId72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кг/м</w:t>
      </w:r>
      <w:r w:rsidRPr="008C1F8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плотность пара (</w:t>
      </w:r>
      <w:proofErr w:type="gramStart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20" w:dyaOrig="380">
          <v:shape id="_x0000_i1059" type="#_x0000_t75" style="width:16.5pt;height:18.75pt" o:ole="">
            <v:imagedata r:id="rId73" o:title=""/>
          </v:shape>
          <o:OLEObject Type="Embed" ProgID="Equation.3" ShapeID="_x0000_i1059" DrawAspect="Content" ObjectID="_1376213703" r:id="rId74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80" w:dyaOrig="380">
          <v:shape id="_x0000_i1060" type="#_x0000_t75" style="width:18.75pt;height:18.75pt" o:ole="">
            <v:imagedata r:id="rId75" o:title=""/>
          </v:shape>
          <o:OLEObject Type="Embed" ProgID="Equation.3" ShapeID="_x0000_i1060" DrawAspect="Content" ObjectID="_1376213704" r:id="rId76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свойствами пара определяется температура </w:t>
      </w:r>
      <w:r w:rsidR="00953CA2" w:rsidRPr="008C1F85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1120" w:dyaOrig="340">
          <v:shape id="_x0000_i1061" type="#_x0000_t75" style="width:82.5pt;height:26.25pt" o:ole="">
            <v:imagedata r:id="rId77" o:title=""/>
          </v:shape>
          <o:OLEObject Type="Embed" ProgID="Equation.3" ShapeID="_x0000_i1061" DrawAspect="Content" ObjectID="_1376213705" r:id="rId78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, °С.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Итерационно пересчитываются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279" w:dyaOrig="380">
          <v:shape id="_x0000_i1062" type="#_x0000_t75" style="width:21pt;height:29.25pt" o:ole="">
            <v:imagedata r:id="rId79" o:title=""/>
          </v:shape>
          <o:OLEObject Type="Embed" ProgID="Equation.3" ShapeID="_x0000_i1062" DrawAspect="Content" ObjectID="_1376213706" r:id="rId80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953CA2" w:rsidRPr="008C1F85">
        <w:rPr>
          <w:rFonts w:ascii="Times New Roman" w:eastAsia="Times New Roman" w:hAnsi="Times New Roman" w:cs="Times New Roman"/>
          <w:position w:val="-14"/>
          <w:sz w:val="24"/>
          <w:szCs w:val="24"/>
          <w:lang w:eastAsia="ru-RU"/>
        </w:rPr>
        <w:object w:dxaOrig="360" w:dyaOrig="380">
          <v:shape id="_x0000_i1063" type="#_x0000_t75" style="width:25.5pt;height:26.25pt" o:ole="">
            <v:imagedata r:id="rId81" o:title=""/>
          </v:shape>
          <o:OLEObject Type="Embed" ProgID="Equation.3" ShapeID="_x0000_i1063" DrawAspect="Content" ObjectID="_1376213707" r:id="rId82"/>
        </w:object>
      </w: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выполнения условий </w:t>
      </w:r>
    </w:p>
    <w:p w:rsidR="008C1F85" w:rsidRPr="008C1F85" w:rsidRDefault="00953CA2" w:rsidP="008C1F85">
      <w:pPr>
        <w:spacing w:after="0" w:line="30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299" w:dyaOrig="1040">
          <v:shape id="_x0000_i1064" type="#_x0000_t75" style="width:144.75pt;height:67.5pt" o:ole="">
            <v:imagedata r:id="rId83" o:title=""/>
          </v:shape>
          <o:OLEObject Type="Embed" ProgID="Equation.3" ShapeID="_x0000_i1064" DrawAspect="Content" ObjectID="_1376213708" r:id="rId84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8C1F85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2560" w:dyaOrig="1040">
          <v:shape id="_x0000_i1065" type="#_x0000_t75" style="width:166.5pt;height:69.75pt" o:ole="">
            <v:imagedata r:id="rId85" o:title=""/>
          </v:shape>
          <o:OLEObject Type="Embed" ProgID="Equation.3" ShapeID="_x0000_i1065" DrawAspect="Content" ObjectID="_1376213709" r:id="rId86"/>
        </w:object>
      </w:r>
      <w:r w:rsidR="008C1F85"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1F85" w:rsidRPr="008C1F85" w:rsidRDefault="008C1F85" w:rsidP="008C1F85">
      <w:pPr>
        <w:numPr>
          <w:ilvl w:val="0"/>
          <w:numId w:val="1"/>
        </w:num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F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выполнения п. 10, расчет параметров в конце расчетного участка считается оконченным, расчет переходит к последующему промежутку и алгоритм повторяется.</w:t>
      </w: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1F85" w:rsidRPr="008C1F85" w:rsidRDefault="008C1F85" w:rsidP="008C1F85">
      <w:pPr>
        <w:spacing w:after="0" w:line="30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B9" w:rsidRDefault="00716AB9"/>
    <w:sectPr w:rsidR="00716AB9" w:rsidSect="008C1F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273A"/>
    <w:multiLevelType w:val="hybridMultilevel"/>
    <w:tmpl w:val="5E961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7DD"/>
    <w:rsid w:val="0015011D"/>
    <w:rsid w:val="001E0C8C"/>
    <w:rsid w:val="002F2276"/>
    <w:rsid w:val="007037DD"/>
    <w:rsid w:val="00716AB9"/>
    <w:rsid w:val="008C1F85"/>
    <w:rsid w:val="00953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F8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3C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3C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3C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3C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3C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F8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53C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3C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3C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3C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3C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C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microsoft.com/office/2007/relationships/stylesWithEffects" Target="stylesWithEffects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fontTable" Target="fontTable.xml"/><Relationship Id="rId5" Type="http://schemas.openxmlformats.org/officeDocument/2006/relationships/image" Target="media/image1.e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Самуйлова</cp:lastModifiedBy>
  <cp:revision>2</cp:revision>
  <dcterms:created xsi:type="dcterms:W3CDTF">2011-08-30T08:45:00Z</dcterms:created>
  <dcterms:modified xsi:type="dcterms:W3CDTF">2011-08-30T08:45:00Z</dcterms:modified>
</cp:coreProperties>
</file>